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6E5A9" w14:textId="2321CEC8" w:rsidR="00842C53" w:rsidRDefault="009A4C24" w:rsidP="003A04A7">
      <w:pPr>
        <w:spacing w:after="0"/>
        <w:ind w:firstLine="170"/>
      </w:pPr>
      <w:r>
        <w:t xml:space="preserve">‘to </w:t>
      </w:r>
      <w:r w:rsidR="00842C53">
        <w:t>teach’ and ‘to learn’ in (Indo-)</w:t>
      </w:r>
      <w:r>
        <w:t>Germanic</w:t>
      </w:r>
      <w:r w:rsidR="00842C53">
        <w:t>: lexical typology, morphology, and more</w:t>
      </w:r>
    </w:p>
    <w:p w14:paraId="3DFDA931" w14:textId="77777777" w:rsidR="008A63AE" w:rsidRDefault="008A63AE" w:rsidP="003A04A7">
      <w:pPr>
        <w:spacing w:after="0"/>
        <w:ind w:firstLine="170"/>
      </w:pPr>
    </w:p>
    <w:p w14:paraId="3A8D5126" w14:textId="196B21D5" w:rsidR="009A4C24" w:rsidRDefault="009A4C24" w:rsidP="003A04A7">
      <w:pPr>
        <w:spacing w:after="0"/>
        <w:ind w:firstLine="170"/>
      </w:pPr>
      <w:r>
        <w:t xml:space="preserve">Abstract </w:t>
      </w:r>
    </w:p>
    <w:p w14:paraId="0CC26A0D" w14:textId="47509B36" w:rsidR="008A63AE" w:rsidRDefault="008A63AE" w:rsidP="008A63AE">
      <w:pPr>
        <w:spacing w:after="0"/>
        <w:ind w:firstLine="0"/>
      </w:pPr>
    </w:p>
    <w:p w14:paraId="5A6F00F6" w14:textId="54492570" w:rsidR="009A4C24" w:rsidRDefault="009A4C24" w:rsidP="003A04A7">
      <w:pPr>
        <w:spacing w:after="0"/>
        <w:ind w:firstLine="170"/>
      </w:pPr>
      <w:r>
        <w:t>Matteo Tarsi</w:t>
      </w:r>
    </w:p>
    <w:p w14:paraId="152E0E36" w14:textId="77777777" w:rsidR="00F97C3E" w:rsidRDefault="00F97C3E" w:rsidP="003A04A7">
      <w:pPr>
        <w:spacing w:after="0"/>
        <w:ind w:firstLine="170"/>
      </w:pPr>
    </w:p>
    <w:p w14:paraId="6F84B541" w14:textId="06D7F110" w:rsidR="009A4C24" w:rsidRDefault="009A4C24" w:rsidP="003A04A7">
      <w:pPr>
        <w:spacing w:after="0"/>
        <w:ind w:firstLine="170"/>
      </w:pPr>
      <w:r>
        <w:t xml:space="preserve">Although Gothic preserves all the four groups of weak verbs of Germanic inheritance, it does not have a </w:t>
      </w:r>
      <w:r w:rsidRPr="00842C53">
        <w:rPr>
          <w:i/>
        </w:rPr>
        <w:t>-nō/na-</w:t>
      </w:r>
      <w:r>
        <w:t xml:space="preserve">verb meaning ‘to learn’. The same applies, </w:t>
      </w:r>
      <w:r w:rsidRPr="00842C53">
        <w:rPr>
          <w:i/>
        </w:rPr>
        <w:t>mutatis mutandis</w:t>
      </w:r>
      <w:r>
        <w:t>, to North Germanic, West Germanic being the</w:t>
      </w:r>
      <w:r w:rsidR="00842C53">
        <w:t xml:space="preserve"> only branch in which PGmc *</w:t>
      </w:r>
      <w:r w:rsidR="00842C53" w:rsidRPr="00842C53">
        <w:rPr>
          <w:i/>
        </w:rPr>
        <w:t>liznōn</w:t>
      </w:r>
      <w:r>
        <w:t xml:space="preserve">- is continued: OE </w:t>
      </w:r>
      <w:r w:rsidRPr="00842C53">
        <w:rPr>
          <w:i/>
        </w:rPr>
        <w:t>leornian</w:t>
      </w:r>
      <w:r>
        <w:t xml:space="preserve">, OS </w:t>
      </w:r>
      <w:r w:rsidRPr="00842C53">
        <w:rPr>
          <w:i/>
        </w:rPr>
        <w:t>līnōn</w:t>
      </w:r>
      <w:r>
        <w:t xml:space="preserve"> (with syncope of </w:t>
      </w:r>
      <w:r w:rsidRPr="00842C53">
        <w:rPr>
          <w:i/>
        </w:rPr>
        <w:t>r</w:t>
      </w:r>
      <w:r>
        <w:t xml:space="preserve"> and compensatory lengthening), </w:t>
      </w:r>
      <w:r w:rsidRPr="00842C53">
        <w:rPr>
          <w:i/>
        </w:rPr>
        <w:t>lernōn</w:t>
      </w:r>
      <w:r>
        <w:t xml:space="preserve">, OHG </w:t>
      </w:r>
      <w:r w:rsidRPr="00842C53">
        <w:rPr>
          <w:i/>
        </w:rPr>
        <w:t>lernōn</w:t>
      </w:r>
      <w:r>
        <w:t xml:space="preserve">, (→) </w:t>
      </w:r>
      <w:r w:rsidRPr="00842C53">
        <w:rPr>
          <w:i/>
        </w:rPr>
        <w:t>lernēn</w:t>
      </w:r>
      <w:r>
        <w:t xml:space="preserve">, </w:t>
      </w:r>
      <w:r w:rsidRPr="00842C53">
        <w:rPr>
          <w:i/>
        </w:rPr>
        <w:t>lirnēn</w:t>
      </w:r>
      <w:r>
        <w:t>, etc.</w:t>
      </w:r>
    </w:p>
    <w:p w14:paraId="512A814A" w14:textId="054C8C49" w:rsidR="009A4C24" w:rsidRDefault="009A4C24" w:rsidP="003A04A7">
      <w:pPr>
        <w:spacing w:after="0"/>
        <w:ind w:firstLine="170"/>
      </w:pPr>
      <w:r>
        <w:t xml:space="preserve">Since </w:t>
      </w:r>
      <w:r w:rsidRPr="00842C53">
        <w:rPr>
          <w:i/>
        </w:rPr>
        <w:t>-nō/na-</w:t>
      </w:r>
      <w:r w:rsidR="00842C53">
        <w:t>verbs later became productive</w:t>
      </w:r>
      <w:r>
        <w:t xml:space="preserve"> only in Gothic and North Germanic, one can ask what it has been of </w:t>
      </w:r>
      <w:r w:rsidR="00842C53">
        <w:t>the root-derived verb PGmc *</w:t>
      </w:r>
      <w:r w:rsidR="00842C53" w:rsidRPr="00842C53">
        <w:rPr>
          <w:i/>
        </w:rPr>
        <w:t>liznōn-</w:t>
      </w:r>
      <w:r w:rsidR="00842C53">
        <w:t xml:space="preserve"> in those branches of Germanic.</w:t>
      </w:r>
    </w:p>
    <w:p w14:paraId="66AEC554" w14:textId="40367D88" w:rsidR="009A4C24" w:rsidRDefault="009A4C24" w:rsidP="003A04A7">
      <w:pPr>
        <w:spacing w:after="0"/>
        <w:ind w:firstLine="170"/>
      </w:pPr>
      <w:r>
        <w:t>The meaning ‘to teach’ is strictly related to ‘to learn’. Verbs in both meanings in Germanic go back to PIE *</w:t>
      </w:r>
      <w:r w:rsidRPr="00842C53">
        <w:rPr>
          <w:i/>
        </w:rPr>
        <w:t>leis-</w:t>
      </w:r>
      <w:r>
        <w:t>. The meaning of the verbal root in Germanic is the outcome of a semantic development from ‘to follow’ → ‘to learn’ (imperfective), if Lat</w:t>
      </w:r>
      <w:r w:rsidRPr="008A63AE">
        <w:t xml:space="preserve">. </w:t>
      </w:r>
      <w:r w:rsidRPr="008A63AE">
        <w:rPr>
          <w:i/>
        </w:rPr>
        <w:t>līra</w:t>
      </w:r>
      <w:r w:rsidRPr="008A63AE">
        <w:t xml:space="preserve"> ‘</w:t>
      </w:r>
      <w:r w:rsidR="003A04A7" w:rsidRPr="008A63AE">
        <w:t>ridge, furrow</w:t>
      </w:r>
      <w:r w:rsidRPr="008A63AE">
        <w:t xml:space="preserve">’ </w:t>
      </w:r>
      <w:r w:rsidRPr="008A63AE">
        <w:rPr>
          <w:lang w:val="en-US"/>
        </w:rPr>
        <w:t xml:space="preserve">(jmf. </w:t>
      </w:r>
      <w:r w:rsidRPr="008A63AE">
        <w:rPr>
          <w:i/>
          <w:lang w:val="en-US"/>
        </w:rPr>
        <w:t>dēlīro</w:t>
      </w:r>
      <w:r w:rsidR="00842C53" w:rsidRPr="008A63AE">
        <w:rPr>
          <w:lang w:val="en-US"/>
        </w:rPr>
        <w:t xml:space="preserve"> ‘</w:t>
      </w:r>
      <w:r w:rsidR="003A04A7" w:rsidRPr="008A63AE">
        <w:rPr>
          <w:lang w:val="en-US"/>
        </w:rPr>
        <w:t>I go out of the furrow, I deviate from a straight line</w:t>
      </w:r>
      <w:r w:rsidRPr="008A63AE">
        <w:rPr>
          <w:lang w:val="en-US"/>
        </w:rPr>
        <w:t xml:space="preserve"> → </w:t>
      </w:r>
      <w:r w:rsidR="003A04A7" w:rsidRPr="008A63AE">
        <w:rPr>
          <w:lang w:val="en-US"/>
        </w:rPr>
        <w:t xml:space="preserve">I am crazy </w:t>
      </w:r>
      <w:r w:rsidR="003A04A7" w:rsidRPr="008A63AE">
        <w:rPr>
          <w:i/>
          <w:lang w:val="en-US"/>
        </w:rPr>
        <w:t>vel sim.</w:t>
      </w:r>
      <w:r w:rsidRPr="008A63AE">
        <w:rPr>
          <w:lang w:val="en-US"/>
        </w:rPr>
        <w:t xml:space="preserve">’), OHG </w:t>
      </w:r>
      <w:r w:rsidR="005E3C2C">
        <w:rPr>
          <w:lang w:val="en-US"/>
        </w:rPr>
        <w:t xml:space="preserve">          </w:t>
      </w:r>
      <w:r w:rsidRPr="008A63AE">
        <w:rPr>
          <w:i/>
          <w:lang w:val="en-US"/>
        </w:rPr>
        <w:t>-leisa</w:t>
      </w:r>
      <w:r w:rsidRPr="008A63AE">
        <w:rPr>
          <w:lang w:val="en-US"/>
        </w:rPr>
        <w:t xml:space="preserve"> </w:t>
      </w:r>
      <w:r w:rsidR="003A04A7" w:rsidRPr="008A63AE">
        <w:rPr>
          <w:lang w:val="en-US"/>
        </w:rPr>
        <w:t>‘track</w:t>
      </w:r>
      <w:r w:rsidR="005E3C2C">
        <w:rPr>
          <w:lang w:val="en-US"/>
        </w:rPr>
        <w:t>’</w:t>
      </w:r>
      <w:r w:rsidRPr="008A63AE">
        <w:rPr>
          <w:lang w:val="en-US"/>
        </w:rPr>
        <w:t xml:space="preserve">, and OCS </w:t>
      </w:r>
      <w:r w:rsidRPr="008A63AE">
        <w:rPr>
          <w:i/>
          <w:lang w:val="en-US"/>
        </w:rPr>
        <w:t>lěcha</w:t>
      </w:r>
      <w:r w:rsidRPr="008A63AE">
        <w:rPr>
          <w:lang w:val="en-US"/>
        </w:rPr>
        <w:t xml:space="preserve"> </w:t>
      </w:r>
      <w:r w:rsidR="008A63AE" w:rsidRPr="008A63AE">
        <w:rPr>
          <w:lang w:val="en-US"/>
        </w:rPr>
        <w:t>‘ridge between two furrows</w:t>
      </w:r>
      <w:r w:rsidRPr="008A63AE">
        <w:rPr>
          <w:lang w:val="en-US"/>
        </w:rPr>
        <w:t xml:space="preserve">’ are related. </w:t>
      </w:r>
      <w:r w:rsidRPr="008A63AE">
        <w:t>Cf</w:t>
      </w:r>
      <w:r>
        <w:t xml:space="preserve">. Got. </w:t>
      </w:r>
      <w:r w:rsidRPr="00842C53">
        <w:rPr>
          <w:i/>
        </w:rPr>
        <w:t>lisan</w:t>
      </w:r>
      <w:r>
        <w:t xml:space="preserve"> ‘to know’ (&lt; PGmc *</w:t>
      </w:r>
      <w:r w:rsidRPr="00842C53">
        <w:rPr>
          <w:i/>
        </w:rPr>
        <w:t>lisan-</w:t>
      </w:r>
      <w:r>
        <w:t xml:space="preserve"> ‘id.’) from the perfect stem PIE </w:t>
      </w:r>
      <w:r w:rsidRPr="00842C53">
        <w:rPr>
          <w:i/>
        </w:rPr>
        <w:t>le-lói̯s/lis-</w:t>
      </w:r>
      <w:r>
        <w:t xml:space="preserve">  ‘to have followed’ → ‘to know’ and the semantic development of Gk οἶδα ‘I know’, Got. </w:t>
      </w:r>
      <w:r w:rsidRPr="00842C53">
        <w:rPr>
          <w:i/>
        </w:rPr>
        <w:t>witan</w:t>
      </w:r>
      <w:r>
        <w:t xml:space="preserve"> ‘to know’, ON </w:t>
      </w:r>
      <w:r w:rsidRPr="00842C53">
        <w:rPr>
          <w:i/>
        </w:rPr>
        <w:t>vita</w:t>
      </w:r>
      <w:r>
        <w:t xml:space="preserve"> ‘id.’, etc. from the perfect stem PIE *</w:t>
      </w:r>
      <w:r w:rsidRPr="00842C53">
        <w:rPr>
          <w:i/>
        </w:rPr>
        <w:t>u̯oi̯d-</w:t>
      </w:r>
      <w:r w:rsidR="00842C53">
        <w:rPr>
          <w:i/>
        </w:rPr>
        <w:t>/</w:t>
      </w:r>
      <w:r w:rsidR="00842C53" w:rsidRPr="00842C53">
        <w:rPr>
          <w:i/>
        </w:rPr>
        <w:t>u̯</w:t>
      </w:r>
      <w:r w:rsidR="00842C53">
        <w:rPr>
          <w:i/>
        </w:rPr>
        <w:t>id-</w:t>
      </w:r>
      <w:r>
        <w:t xml:space="preserve"> </w:t>
      </w:r>
      <w:r w:rsidR="00842C53">
        <w:t>(</w:t>
      </w:r>
      <w:r w:rsidR="00842C53" w:rsidRPr="00842C53">
        <w:rPr>
          <w:i/>
        </w:rPr>
        <w:t>sic</w:t>
      </w:r>
      <w:r w:rsidR="00842C53">
        <w:t xml:space="preserve">!) </w:t>
      </w:r>
      <w:r>
        <w:t>‘to have seen’ → ‘to know’.</w:t>
      </w:r>
    </w:p>
    <w:p w14:paraId="59D5125D" w14:textId="6DF4D249" w:rsidR="009A4C24" w:rsidRDefault="009A4C24" w:rsidP="003A04A7">
      <w:pPr>
        <w:spacing w:after="0"/>
        <w:ind w:firstLine="170"/>
      </w:pPr>
      <w:r>
        <w:t>Causative formations from PIE *</w:t>
      </w:r>
      <w:r w:rsidRPr="005F441F">
        <w:rPr>
          <w:i/>
        </w:rPr>
        <w:t>leis-</w:t>
      </w:r>
      <w:r>
        <w:t xml:space="preserve"> meaning ‘to teach’ are found in Gothic and throughout West Germanic (&lt; PGmc *</w:t>
      </w:r>
      <w:r w:rsidRPr="005F441F">
        <w:rPr>
          <w:i/>
        </w:rPr>
        <w:t>laizija</w:t>
      </w:r>
      <w:r w:rsidR="005F441F" w:rsidRPr="005F441F">
        <w:rPr>
          <w:i/>
        </w:rPr>
        <w:t>n</w:t>
      </w:r>
      <w:r w:rsidRPr="005F441F">
        <w:rPr>
          <w:i/>
        </w:rPr>
        <w:t>-</w:t>
      </w:r>
      <w:r>
        <w:t xml:space="preserve">): Got. </w:t>
      </w:r>
      <w:r w:rsidRPr="005F441F">
        <w:rPr>
          <w:i/>
        </w:rPr>
        <w:t>laisjan</w:t>
      </w:r>
      <w:r>
        <w:t xml:space="preserve"> (with analogical </w:t>
      </w:r>
      <w:r w:rsidRPr="005F441F">
        <w:rPr>
          <w:i/>
        </w:rPr>
        <w:t>s</w:t>
      </w:r>
      <w:r>
        <w:t xml:space="preserve"> after the preterite-present </w:t>
      </w:r>
      <w:r w:rsidRPr="005F441F">
        <w:rPr>
          <w:i/>
        </w:rPr>
        <w:t>lisan</w:t>
      </w:r>
      <w:r>
        <w:t xml:space="preserve"> ‘to know’, LIV</w:t>
      </w:r>
      <w:r w:rsidRPr="00E3647E">
        <w:rPr>
          <w:vertAlign w:val="superscript"/>
        </w:rPr>
        <w:t>2</w:t>
      </w:r>
      <w:r>
        <w:t xml:space="preserve">, s.r. </w:t>
      </w:r>
      <w:r w:rsidR="005F441F">
        <w:t>*</w:t>
      </w:r>
      <w:r w:rsidRPr="005F441F">
        <w:rPr>
          <w:i/>
        </w:rPr>
        <w:t>lei̯s-</w:t>
      </w:r>
      <w:r>
        <w:t xml:space="preserve">); West Germanic: OE </w:t>
      </w:r>
      <w:r w:rsidRPr="005F441F">
        <w:rPr>
          <w:i/>
        </w:rPr>
        <w:t>lǣran</w:t>
      </w:r>
      <w:r>
        <w:t xml:space="preserve">, OS </w:t>
      </w:r>
      <w:r w:rsidRPr="005F441F">
        <w:rPr>
          <w:i/>
        </w:rPr>
        <w:t>lērian</w:t>
      </w:r>
      <w:r>
        <w:t xml:space="preserve">, OHG </w:t>
      </w:r>
      <w:r w:rsidRPr="005F441F">
        <w:rPr>
          <w:i/>
        </w:rPr>
        <w:t>lēren</w:t>
      </w:r>
      <w:r w:rsidR="005F441F">
        <w:t>, etc.</w:t>
      </w:r>
    </w:p>
    <w:p w14:paraId="5E2E545F" w14:textId="0EF755A7" w:rsidR="009A4C24" w:rsidRDefault="009A4C24" w:rsidP="003A04A7">
      <w:pPr>
        <w:spacing w:after="0"/>
        <w:ind w:firstLine="170"/>
      </w:pPr>
      <w:r>
        <w:t xml:space="preserve">The North-Germanic verb ON </w:t>
      </w:r>
      <w:r w:rsidRPr="005F441F">
        <w:rPr>
          <w:i/>
        </w:rPr>
        <w:t>læra</w:t>
      </w:r>
      <w:r>
        <w:t xml:space="preserve"> [c. 1200+], OSw. </w:t>
      </w:r>
      <w:r w:rsidRPr="005F441F">
        <w:rPr>
          <w:i/>
        </w:rPr>
        <w:t>lära</w:t>
      </w:r>
      <w:r w:rsidR="005F441F">
        <w:t xml:space="preserve"> [c. 1350+], ODan. </w:t>
      </w:r>
      <w:r w:rsidR="005F441F" w:rsidRPr="005F441F">
        <w:rPr>
          <w:i/>
        </w:rPr>
        <w:t>lær</w:t>
      </w:r>
      <w:r w:rsidR="005F441F" w:rsidRPr="005F441F">
        <w:rPr>
          <w:i/>
          <w:lang w:val="is-IS"/>
        </w:rPr>
        <w:t>æ</w:t>
      </w:r>
      <w:r>
        <w:t xml:space="preserve"> [c. 1450+], etc. is a loanword from the West-Germanic linguistic area: from Old English in Old West Norse but likely a somewhat later borrowing in Old East Norse from MLG </w:t>
      </w:r>
      <w:r w:rsidRPr="005F441F">
        <w:rPr>
          <w:i/>
        </w:rPr>
        <w:t>lêren</w:t>
      </w:r>
      <w:r>
        <w:t>. The verb’s original meaning was ‘to teach’. Cf. the following examples (from ONP, Söderwall, and Gammeldansk ordbog, respectively):</w:t>
      </w:r>
    </w:p>
    <w:p w14:paraId="57136394" w14:textId="77777777" w:rsidR="005F441F" w:rsidRPr="00F62905" w:rsidRDefault="009A4C24" w:rsidP="003A04A7">
      <w:pPr>
        <w:spacing w:after="0"/>
        <w:ind w:firstLine="170"/>
        <w:rPr>
          <w:lang w:val="sv-SE"/>
        </w:rPr>
      </w:pPr>
      <w:r w:rsidRPr="00F62905">
        <w:rPr>
          <w:lang w:val="sv-SE"/>
        </w:rPr>
        <w:t xml:space="preserve">ON </w:t>
      </w:r>
      <w:r w:rsidRPr="00F62905">
        <w:rPr>
          <w:i/>
          <w:lang w:val="sv-SE"/>
        </w:rPr>
        <w:t>lęri oss nv oc þa en almatci gvd</w:t>
      </w:r>
      <w:r w:rsidRPr="00F62905">
        <w:rPr>
          <w:lang w:val="sv-SE"/>
        </w:rPr>
        <w:t xml:space="preserve"> </w:t>
      </w:r>
    </w:p>
    <w:p w14:paraId="3267B181" w14:textId="419DA017" w:rsidR="009A4C24" w:rsidRDefault="009A4C24" w:rsidP="003A04A7">
      <w:pPr>
        <w:spacing w:after="0"/>
        <w:ind w:firstLine="170"/>
      </w:pPr>
      <w:r>
        <w:t>‘God omnipotent teach us now and then’ (Epigrammata sancti Prosperi; = Lat. ... doceat ..., PL 51, col. 515)</w:t>
      </w:r>
    </w:p>
    <w:p w14:paraId="34A1D8B5" w14:textId="77777777" w:rsidR="005F441F" w:rsidRDefault="009A4C24" w:rsidP="003A04A7">
      <w:pPr>
        <w:spacing w:after="0"/>
        <w:ind w:firstLine="170"/>
      </w:pPr>
      <w:r>
        <w:t xml:space="preserve">OSw. </w:t>
      </w:r>
      <w:r w:rsidRPr="005F441F">
        <w:rPr>
          <w:i/>
        </w:rPr>
        <w:t>visaþe han ok lärþe himirikis up gang at tolf dygþa trapom</w:t>
      </w:r>
      <w:r>
        <w:t xml:space="preserve"> </w:t>
      </w:r>
    </w:p>
    <w:p w14:paraId="4F117868" w14:textId="1DDFFAB6" w:rsidR="009A4C24" w:rsidRDefault="009A4C24" w:rsidP="003A04A7">
      <w:pPr>
        <w:spacing w:after="0"/>
        <w:ind w:firstLine="170"/>
      </w:pPr>
      <w:r>
        <w:t>‘he showed and taught the stairway to heaven through twelve virtuous steps’(Codex Bureanus)</w:t>
      </w:r>
    </w:p>
    <w:p w14:paraId="5CB70215" w14:textId="77777777" w:rsidR="005F441F" w:rsidRPr="005F441F" w:rsidRDefault="009A4C24" w:rsidP="003A04A7">
      <w:pPr>
        <w:spacing w:after="0"/>
        <w:ind w:firstLine="170"/>
        <w:rPr>
          <w:i/>
        </w:rPr>
      </w:pPr>
      <w:r>
        <w:t xml:space="preserve">ODan. </w:t>
      </w:r>
      <w:r w:rsidRPr="005F441F">
        <w:rPr>
          <w:i/>
        </w:rPr>
        <w:t xml:space="preserve">han lærde thæm bodhe j wisdome </w:t>
      </w:r>
    </w:p>
    <w:p w14:paraId="6C44FFC0" w14:textId="40036142" w:rsidR="009A4C24" w:rsidRDefault="009A4C24" w:rsidP="003A04A7">
      <w:pPr>
        <w:spacing w:after="0"/>
        <w:ind w:firstLine="170"/>
      </w:pPr>
      <w:r>
        <w:t>‘he taught them both in wisdom’ (Ex. 35:35; = Lat. ambos erudivit sapientia)</w:t>
      </w:r>
    </w:p>
    <w:p w14:paraId="2E145E04" w14:textId="77777777" w:rsidR="009A4C24" w:rsidRDefault="009A4C24" w:rsidP="003A04A7">
      <w:pPr>
        <w:spacing w:after="0"/>
        <w:ind w:firstLine="170"/>
      </w:pPr>
      <w:r>
        <w:t xml:space="preserve">The meaning ‘to learn’ is a later semantic development, which likely arose thanks to the contact between the Nordic languages on the one hand and the West-Germanic prestige languages on the other hand, in particular with Middle Low German (MLG </w:t>
      </w:r>
      <w:r w:rsidRPr="005F441F">
        <w:rPr>
          <w:i/>
        </w:rPr>
        <w:t>lêren</w:t>
      </w:r>
      <w:r>
        <w:t xml:space="preserve"> ‘to teach, learn’ but OS </w:t>
      </w:r>
      <w:r w:rsidRPr="005F441F">
        <w:rPr>
          <w:i/>
        </w:rPr>
        <w:t>lērian</w:t>
      </w:r>
      <w:r>
        <w:t xml:space="preserve"> ‘to teach’; ME </w:t>
      </w:r>
      <w:r w:rsidRPr="005F441F">
        <w:rPr>
          <w:i/>
        </w:rPr>
        <w:t>lēren</w:t>
      </w:r>
      <w:r>
        <w:t xml:space="preserve"> ‘to teach, learn’ but OE </w:t>
      </w:r>
      <w:r w:rsidRPr="005F441F">
        <w:rPr>
          <w:i/>
        </w:rPr>
        <w:t>lǣran</w:t>
      </w:r>
      <w:r>
        <w:t xml:space="preserve"> ‘to teach’).</w:t>
      </w:r>
    </w:p>
    <w:p w14:paraId="5E677D44" w14:textId="4813E25A" w:rsidR="009A4C24" w:rsidRDefault="009A4C24" w:rsidP="003A04A7">
      <w:pPr>
        <w:spacing w:after="0"/>
        <w:ind w:firstLine="170"/>
      </w:pPr>
      <w:r>
        <w:t xml:space="preserve">The Old Norse mediopassive form </w:t>
      </w:r>
      <w:r w:rsidRPr="005F441F">
        <w:rPr>
          <w:i/>
        </w:rPr>
        <w:t>lærask</w:t>
      </w:r>
      <w:r>
        <w:t xml:space="preserve"> was used from c. 1200 in the meaning ‘to learn’ (see e.g. in the </w:t>
      </w:r>
      <w:r w:rsidRPr="00E3647E">
        <w:rPr>
          <w:i/>
        </w:rPr>
        <w:t>Icelandic homily book</w:t>
      </w:r>
      <w:r>
        <w:t xml:space="preserve">: </w:t>
      </w:r>
      <w:r w:rsidRPr="005F441F">
        <w:rPr>
          <w:i/>
        </w:rPr>
        <w:t>af boka lestre læromc ver</w:t>
      </w:r>
      <w:r>
        <w:t xml:space="preserve"> ‘we learn from reading books’, ONP, s.v. </w:t>
      </w:r>
      <w:r w:rsidRPr="005F441F">
        <w:rPr>
          <w:i/>
        </w:rPr>
        <w:t>læra</w:t>
      </w:r>
      <w:r>
        <w:t>). The sit</w:t>
      </w:r>
      <w:r w:rsidR="00E3647E">
        <w:t>uation in East Norse is</w:t>
      </w:r>
      <w:r>
        <w:t xml:space="preserve"> such that Old Swedish employs the reflexive form </w:t>
      </w:r>
      <w:r w:rsidRPr="005F441F">
        <w:rPr>
          <w:i/>
        </w:rPr>
        <w:t>lära sik</w:t>
      </w:r>
      <w:r>
        <w:t xml:space="preserve">, whereas Old Danish has the mediopassive form </w:t>
      </w:r>
      <w:r w:rsidRPr="005F441F">
        <w:rPr>
          <w:i/>
        </w:rPr>
        <w:t>læræs</w:t>
      </w:r>
      <w:r w:rsidR="005F441F">
        <w:t>.</w:t>
      </w:r>
    </w:p>
    <w:p w14:paraId="58E77BAB" w14:textId="496EF610" w:rsidR="00230C32" w:rsidRDefault="00230C32" w:rsidP="003A04A7">
      <w:pPr>
        <w:spacing w:after="0"/>
        <w:ind w:firstLine="170"/>
      </w:pPr>
    </w:p>
    <w:p w14:paraId="0526628F" w14:textId="40943881" w:rsidR="00646A1F" w:rsidRDefault="00230C32" w:rsidP="003A04A7">
      <w:pPr>
        <w:spacing w:after="0"/>
        <w:ind w:firstLine="170"/>
        <w:rPr>
          <w:lang w:val="en-US"/>
        </w:rPr>
      </w:pPr>
      <w:r>
        <w:t xml:space="preserve">The paper will </w:t>
      </w:r>
      <w:r w:rsidR="00646A1F">
        <w:t>be divided in two parts. S</w:t>
      </w:r>
      <w:r>
        <w:t>tart</w:t>
      </w:r>
      <w:r w:rsidR="00646A1F">
        <w:t>ing</w:t>
      </w:r>
      <w:r>
        <w:t xml:space="preserve"> with some </w:t>
      </w:r>
      <w:r w:rsidR="00646A1F">
        <w:t xml:space="preserve">introductory </w:t>
      </w:r>
      <w:r>
        <w:t xml:space="preserve">words on </w:t>
      </w:r>
      <w:r w:rsidRPr="00230C32">
        <w:rPr>
          <w:i/>
          <w:lang w:val="en-US"/>
        </w:rPr>
        <w:t>-nō/na-</w:t>
      </w:r>
      <w:r w:rsidRPr="00230C32">
        <w:rPr>
          <w:lang w:val="en-US"/>
        </w:rPr>
        <w:t>verb</w:t>
      </w:r>
      <w:r>
        <w:rPr>
          <w:lang w:val="en-US"/>
        </w:rPr>
        <w:t>s, their origin in the Germanic verbal system</w:t>
      </w:r>
      <w:r w:rsidR="00646A1F">
        <w:rPr>
          <w:lang w:val="en-US"/>
        </w:rPr>
        <w:t>,</w:t>
      </w:r>
      <w:r>
        <w:rPr>
          <w:lang w:val="en-US"/>
        </w:rPr>
        <w:t xml:space="preserve"> and an overview of older studies on PGmc *</w:t>
      </w:r>
      <w:r w:rsidRPr="00230C32">
        <w:rPr>
          <w:i/>
          <w:lang w:val="en-US"/>
        </w:rPr>
        <w:t>lisan-</w:t>
      </w:r>
      <w:r w:rsidR="00484DAC">
        <w:rPr>
          <w:i/>
          <w:lang w:val="en-US"/>
        </w:rPr>
        <w:t xml:space="preserve"> </w:t>
      </w:r>
      <w:r w:rsidR="00484DAC">
        <w:rPr>
          <w:lang w:val="en-US"/>
        </w:rPr>
        <w:t>etc.</w:t>
      </w:r>
      <w:r>
        <w:rPr>
          <w:lang w:val="en-US"/>
        </w:rPr>
        <w:t>, the synchronic and diachronic situatio</w:t>
      </w:r>
      <w:r w:rsidR="00646A1F">
        <w:rPr>
          <w:lang w:val="en-US"/>
        </w:rPr>
        <w:t>n in Germanic will be addressed</w:t>
      </w:r>
      <w:r>
        <w:rPr>
          <w:lang w:val="en-US"/>
        </w:rPr>
        <w:t xml:space="preserve">. </w:t>
      </w:r>
      <w:r w:rsidR="00646A1F">
        <w:rPr>
          <w:lang w:val="en-US"/>
        </w:rPr>
        <w:t>In this respect, is of particular relevance to consider three different possibilities for each verb of the PGmc triplet *</w:t>
      </w:r>
      <w:r w:rsidR="00646A1F" w:rsidRPr="00646A1F">
        <w:rPr>
          <w:i/>
          <w:lang w:val="en-US"/>
        </w:rPr>
        <w:t>lisan-</w:t>
      </w:r>
      <w:r w:rsidR="00646A1F">
        <w:rPr>
          <w:lang w:val="en-US"/>
        </w:rPr>
        <w:t xml:space="preserve"> </w:t>
      </w:r>
      <w:r w:rsidR="00646A1F">
        <w:rPr>
          <w:rFonts w:ascii="Times New Unicode" w:hAnsi="Times New Unicode"/>
          <w:lang w:val="en-US"/>
        </w:rPr>
        <w:t>~</w:t>
      </w:r>
      <w:r w:rsidR="00646A1F">
        <w:rPr>
          <w:lang w:val="en-US"/>
        </w:rPr>
        <w:t xml:space="preserve"> *</w:t>
      </w:r>
      <w:r w:rsidR="00646A1F" w:rsidRPr="00646A1F">
        <w:rPr>
          <w:i/>
          <w:lang w:val="en-US"/>
        </w:rPr>
        <w:t>laizijan-</w:t>
      </w:r>
      <w:r w:rsidR="00646A1F">
        <w:rPr>
          <w:lang w:val="en-US"/>
        </w:rPr>
        <w:t xml:space="preserve"> </w:t>
      </w:r>
      <w:r w:rsidR="00646A1F">
        <w:rPr>
          <w:rFonts w:ascii="Times New Unicode" w:hAnsi="Times New Unicode"/>
          <w:lang w:val="en-US"/>
        </w:rPr>
        <w:t>~</w:t>
      </w:r>
      <w:r w:rsidR="00646A1F">
        <w:rPr>
          <w:lang w:val="en-US"/>
        </w:rPr>
        <w:t xml:space="preserve"> *</w:t>
      </w:r>
      <w:r w:rsidR="00646A1F" w:rsidRPr="00646A1F">
        <w:rPr>
          <w:i/>
          <w:lang w:val="en-US"/>
        </w:rPr>
        <w:t>liznōn-</w:t>
      </w:r>
      <w:r w:rsidR="00646A1F">
        <w:rPr>
          <w:lang w:val="en-US"/>
        </w:rPr>
        <w:t>, namely:</w:t>
      </w:r>
    </w:p>
    <w:p w14:paraId="740B4E32" w14:textId="6DC1090C" w:rsidR="00646A1F" w:rsidRDefault="00646A1F" w:rsidP="003A04A7">
      <w:pPr>
        <w:pStyle w:val="ListParagraph"/>
        <w:numPr>
          <w:ilvl w:val="0"/>
          <w:numId w:val="4"/>
        </w:numPr>
        <w:spacing w:after="0"/>
        <w:rPr>
          <w:lang w:val="en-US"/>
        </w:rPr>
      </w:pPr>
      <w:r>
        <w:rPr>
          <w:lang w:val="en-US"/>
        </w:rPr>
        <w:t>verb X was only present in those Proto-Germanic dialects which later became that branch of Germanic where the verb is attested in historical time</w:t>
      </w:r>
      <w:r w:rsidR="003A04A7">
        <w:rPr>
          <w:lang w:val="en-US"/>
        </w:rPr>
        <w:t>;</w:t>
      </w:r>
    </w:p>
    <w:p w14:paraId="238511F9" w14:textId="04370A28" w:rsidR="00646A1F" w:rsidRPr="003A04A7" w:rsidRDefault="00646A1F" w:rsidP="003A04A7">
      <w:pPr>
        <w:pStyle w:val="ListParagraph"/>
        <w:numPr>
          <w:ilvl w:val="0"/>
          <w:numId w:val="4"/>
        </w:numPr>
        <w:spacing w:after="0"/>
        <w:rPr>
          <w:lang w:val="en-US"/>
        </w:rPr>
      </w:pPr>
      <w:r w:rsidRPr="003A04A7">
        <w:rPr>
          <w:lang w:val="en-US"/>
        </w:rPr>
        <w:t>verb X was present everywhere in Proto-Germanic but was lost in those dialects which later became those branch of Germanic in which the verb is not attested in historical time</w:t>
      </w:r>
      <w:r w:rsidR="003A04A7">
        <w:rPr>
          <w:lang w:val="en-US"/>
        </w:rPr>
        <w:t>;</w:t>
      </w:r>
    </w:p>
    <w:p w14:paraId="4EBCC7AB" w14:textId="77777777" w:rsidR="00646A1F" w:rsidRPr="003A04A7" w:rsidRDefault="00646A1F" w:rsidP="003A04A7">
      <w:pPr>
        <w:pStyle w:val="ListParagraph"/>
        <w:numPr>
          <w:ilvl w:val="0"/>
          <w:numId w:val="4"/>
        </w:numPr>
        <w:spacing w:after="0"/>
        <w:rPr>
          <w:lang w:val="en-US"/>
        </w:rPr>
      </w:pPr>
      <w:r w:rsidRPr="003A04A7">
        <w:rPr>
          <w:lang w:val="en-US"/>
        </w:rPr>
        <w:t xml:space="preserve">verb X was lost independently after the Proto-Germanic </w:t>
      </w:r>
      <w:r w:rsidR="00106DDD" w:rsidRPr="003A04A7">
        <w:rPr>
          <w:lang w:val="en-US"/>
        </w:rPr>
        <w:t>linguistic split</w:t>
      </w:r>
      <w:r w:rsidR="003A04A7">
        <w:rPr>
          <w:lang w:val="en-US"/>
        </w:rPr>
        <w:t>.</w:t>
      </w:r>
    </w:p>
    <w:p w14:paraId="191E6705" w14:textId="03E8E0DC" w:rsidR="00646A1F" w:rsidRDefault="00646A1F" w:rsidP="003A04A7">
      <w:pPr>
        <w:spacing w:after="0"/>
        <w:ind w:left="170" w:firstLine="170"/>
        <w:rPr>
          <w:lang w:val="en-US"/>
        </w:rPr>
      </w:pPr>
    </w:p>
    <w:p w14:paraId="4ECA542A" w14:textId="77777777" w:rsidR="00106DDD" w:rsidRDefault="00646A1F" w:rsidP="003A04A7">
      <w:pPr>
        <w:spacing w:after="0"/>
        <w:ind w:left="170" w:firstLine="170"/>
        <w:rPr>
          <w:lang w:val="en-US"/>
        </w:rPr>
      </w:pPr>
      <w:r>
        <w:rPr>
          <w:lang w:val="en-US"/>
        </w:rPr>
        <w:t xml:space="preserve">Twenty-seven possibilities arise, which will be dealt with under the light of the </w:t>
      </w:r>
      <w:r w:rsidR="00106DDD">
        <w:rPr>
          <w:lang w:val="en-US"/>
        </w:rPr>
        <w:t>phylogenetic theories proposed so-far.</w:t>
      </w:r>
    </w:p>
    <w:p w14:paraId="3403758E" w14:textId="77777777" w:rsidR="00106DDD" w:rsidRDefault="00106DDD" w:rsidP="003A04A7">
      <w:pPr>
        <w:spacing w:after="0"/>
        <w:ind w:left="170" w:firstLine="170"/>
        <w:rPr>
          <w:lang w:val="en-US"/>
        </w:rPr>
      </w:pPr>
    </w:p>
    <w:p w14:paraId="18071404" w14:textId="2F849AA6" w:rsidR="00646A1F" w:rsidRPr="00646A1F" w:rsidRDefault="00106DDD" w:rsidP="003A04A7">
      <w:pPr>
        <w:spacing w:after="0"/>
        <w:ind w:left="170" w:firstLine="170"/>
        <w:rPr>
          <w:lang w:val="en-US"/>
        </w:rPr>
      </w:pPr>
      <w:r>
        <w:rPr>
          <w:lang w:val="en-US"/>
        </w:rPr>
        <w:t>The second half of the paper will be devoted to th</w:t>
      </w:r>
      <w:r w:rsidR="008336EC">
        <w:rPr>
          <w:lang w:val="en-US"/>
        </w:rPr>
        <w:t xml:space="preserve">e lexical-typological dimension: on the one hand the situation in </w:t>
      </w:r>
      <w:r w:rsidR="003A04A7">
        <w:rPr>
          <w:lang w:val="en-US"/>
        </w:rPr>
        <w:t>Germanic, on the other</w:t>
      </w:r>
      <w:r w:rsidR="00484DAC">
        <w:rPr>
          <w:lang w:val="en-US"/>
        </w:rPr>
        <w:t xml:space="preserve"> </w:t>
      </w:r>
      <w:r w:rsidR="003A04A7">
        <w:rPr>
          <w:lang w:val="en-US"/>
        </w:rPr>
        <w:t>a specimen of the diachronic situation in some</w:t>
      </w:r>
      <w:r w:rsidR="00484DAC">
        <w:rPr>
          <w:lang w:val="en-US"/>
        </w:rPr>
        <w:t xml:space="preserve"> relevant</w:t>
      </w:r>
      <w:r w:rsidR="003A04A7">
        <w:rPr>
          <w:lang w:val="en-US"/>
        </w:rPr>
        <w:t xml:space="preserve"> branches of Indo-European.</w:t>
      </w:r>
      <w:r w:rsidR="00484DAC">
        <w:rPr>
          <w:lang w:val="en-US"/>
        </w:rPr>
        <w:t xml:space="preserve"> Three questions will be in focus: 1) what encoding strategies are used in Indo-European?; 2) what are the tendencies from a conceptual/metaphorical point of view?; 3) is there a shift in lexical typology in diachrony?</w:t>
      </w:r>
    </w:p>
    <w:p w14:paraId="7FB72BD8" w14:textId="3119E94B" w:rsidR="00230C32" w:rsidRDefault="00230C32" w:rsidP="003A04A7">
      <w:pPr>
        <w:spacing w:after="0"/>
        <w:ind w:firstLine="170"/>
        <w:rPr>
          <w:lang w:val="en-US"/>
        </w:rPr>
      </w:pPr>
    </w:p>
    <w:p w14:paraId="097AFDED" w14:textId="12CF5186" w:rsidR="009A4C24" w:rsidRPr="003A04A7" w:rsidRDefault="009A4C24" w:rsidP="003A04A7">
      <w:pPr>
        <w:spacing w:after="0"/>
        <w:ind w:firstLine="170"/>
        <w:rPr>
          <w:lang w:val="da-DK"/>
        </w:rPr>
      </w:pPr>
      <w:r w:rsidRPr="003A04A7">
        <w:rPr>
          <w:lang w:val="da-DK"/>
        </w:rPr>
        <w:t>Abbreviations</w:t>
      </w:r>
    </w:p>
    <w:p w14:paraId="4E6C346E" w14:textId="77777777" w:rsidR="009A4C24" w:rsidRPr="009A4C24" w:rsidRDefault="009A4C24" w:rsidP="003A04A7">
      <w:pPr>
        <w:spacing w:after="0"/>
        <w:ind w:firstLine="170"/>
        <w:rPr>
          <w:lang w:val="da-DK"/>
        </w:rPr>
      </w:pPr>
      <w:r w:rsidRPr="009A4C24">
        <w:rPr>
          <w:lang w:val="da-DK"/>
        </w:rPr>
        <w:t>Ex. = Exodus.</w:t>
      </w:r>
    </w:p>
    <w:p w14:paraId="282436CE" w14:textId="77777777" w:rsidR="009A4C24" w:rsidRPr="009A4C24" w:rsidRDefault="009A4C24" w:rsidP="003A04A7">
      <w:pPr>
        <w:spacing w:after="0"/>
        <w:ind w:firstLine="170"/>
        <w:rPr>
          <w:lang w:val="da-DK"/>
        </w:rPr>
      </w:pPr>
      <w:r w:rsidRPr="009A4C24">
        <w:rPr>
          <w:lang w:val="da-DK"/>
        </w:rPr>
        <w:t xml:space="preserve">Gammeldansk ordbog = </w:t>
      </w:r>
      <w:r w:rsidRPr="003A04A7">
        <w:rPr>
          <w:i/>
          <w:lang w:val="da-DK"/>
        </w:rPr>
        <w:t>Gammeldansk ordbog</w:t>
      </w:r>
      <w:r w:rsidRPr="009A4C24">
        <w:rPr>
          <w:lang w:val="da-DK"/>
        </w:rPr>
        <w:t>. http://www.gammeldanskordbog.dk. Copenhagen: Det Danske Sprog- og Litteraturselskab.</w:t>
      </w:r>
      <w:bookmarkStart w:id="0" w:name="_GoBack"/>
      <w:bookmarkEnd w:id="0"/>
    </w:p>
    <w:p w14:paraId="10574452" w14:textId="1DA9D519" w:rsidR="009A4C24" w:rsidRPr="009A4C24" w:rsidRDefault="009A4C24" w:rsidP="003A04A7">
      <w:pPr>
        <w:spacing w:after="0"/>
        <w:ind w:firstLine="170"/>
        <w:rPr>
          <w:lang w:val="da-DK"/>
        </w:rPr>
      </w:pPr>
      <w:r w:rsidRPr="009A4C24">
        <w:rPr>
          <w:lang w:val="da-DK"/>
        </w:rPr>
        <w:t>LIV</w:t>
      </w:r>
      <w:r w:rsidRPr="0058230F">
        <w:rPr>
          <w:vertAlign w:val="superscript"/>
          <w:lang w:val="da-DK"/>
        </w:rPr>
        <w:t>2</w:t>
      </w:r>
      <w:r w:rsidRPr="009A4C24">
        <w:rPr>
          <w:lang w:val="da-DK"/>
        </w:rPr>
        <w:t xml:space="preserve"> = </w:t>
      </w:r>
      <w:r w:rsidRPr="003A04A7">
        <w:rPr>
          <w:i/>
          <w:lang w:val="da-DK"/>
        </w:rPr>
        <w:t>Lexikon der indogermanischen Verben</w:t>
      </w:r>
      <w:r w:rsidR="003A04A7">
        <w:rPr>
          <w:lang w:val="da-DK"/>
        </w:rPr>
        <w:t>, edited by</w:t>
      </w:r>
      <w:r w:rsidRPr="009A4C24">
        <w:rPr>
          <w:lang w:val="da-DK"/>
        </w:rPr>
        <w:t xml:space="preserve"> Helmut Rix et al., 2nd edn by Helmut Rix and Martin Kümmel. Wiesbaden: Reichert, 2001.</w:t>
      </w:r>
    </w:p>
    <w:p w14:paraId="7EE4BC33" w14:textId="77777777" w:rsidR="009A4C24" w:rsidRPr="009A4C24" w:rsidRDefault="009A4C24" w:rsidP="003A04A7">
      <w:pPr>
        <w:spacing w:after="0"/>
        <w:ind w:firstLine="170"/>
        <w:rPr>
          <w:lang w:val="da-DK"/>
        </w:rPr>
      </w:pPr>
      <w:r w:rsidRPr="009A4C24">
        <w:rPr>
          <w:lang w:val="da-DK"/>
        </w:rPr>
        <w:t xml:space="preserve">ONP = </w:t>
      </w:r>
      <w:r w:rsidRPr="003A04A7">
        <w:rPr>
          <w:i/>
          <w:lang w:val="da-DK"/>
        </w:rPr>
        <w:t>Ordbog over det norrøne prosasprog</w:t>
      </w:r>
      <w:r w:rsidRPr="009A4C24">
        <w:rPr>
          <w:lang w:val="da-DK"/>
        </w:rPr>
        <w:t>. Copenhagen: Københavns Universitet.</w:t>
      </w:r>
    </w:p>
    <w:p w14:paraId="2814FC7F" w14:textId="77777777" w:rsidR="009A4C24" w:rsidRPr="009A4C24" w:rsidRDefault="009A4C24" w:rsidP="003A04A7">
      <w:pPr>
        <w:spacing w:after="0"/>
        <w:ind w:firstLine="170"/>
        <w:rPr>
          <w:lang w:val="da-DK"/>
        </w:rPr>
      </w:pPr>
      <w:r w:rsidRPr="009A4C24">
        <w:rPr>
          <w:lang w:val="da-DK"/>
        </w:rPr>
        <w:t xml:space="preserve">PL = </w:t>
      </w:r>
      <w:r w:rsidRPr="003A04A7">
        <w:rPr>
          <w:i/>
          <w:lang w:val="da-DK"/>
        </w:rPr>
        <w:t>Patrologia Latina</w:t>
      </w:r>
      <w:r w:rsidRPr="009A4C24">
        <w:rPr>
          <w:lang w:val="da-DK"/>
        </w:rPr>
        <w:t>, ed. Jacques Paul Migne. Paris, 1844–1855.</w:t>
      </w:r>
    </w:p>
    <w:p w14:paraId="4827534D" w14:textId="77777777" w:rsidR="009A4C24" w:rsidRPr="00F62905" w:rsidRDefault="009A4C24" w:rsidP="003A04A7">
      <w:pPr>
        <w:spacing w:after="0"/>
        <w:ind w:firstLine="170"/>
        <w:rPr>
          <w:lang w:val="da-DK"/>
        </w:rPr>
      </w:pPr>
      <w:r w:rsidRPr="00F62905">
        <w:rPr>
          <w:lang w:val="da-DK"/>
        </w:rPr>
        <w:t>s.r. = sub radice</w:t>
      </w:r>
    </w:p>
    <w:p w14:paraId="27B38F89" w14:textId="77777777" w:rsidR="009A4C24" w:rsidRPr="00F62905" w:rsidRDefault="009A4C24" w:rsidP="003A04A7">
      <w:pPr>
        <w:spacing w:after="0"/>
        <w:ind w:firstLine="170"/>
        <w:rPr>
          <w:lang w:val="da-DK"/>
        </w:rPr>
      </w:pPr>
      <w:r w:rsidRPr="00F62905">
        <w:rPr>
          <w:lang w:val="da-DK"/>
        </w:rPr>
        <w:t>s.v. = sub voce</w:t>
      </w:r>
    </w:p>
    <w:p w14:paraId="2E963717" w14:textId="77777777" w:rsidR="001D6842" w:rsidRDefault="009A4C24" w:rsidP="003A04A7">
      <w:pPr>
        <w:spacing w:after="0"/>
        <w:ind w:firstLine="170"/>
      </w:pPr>
      <w:r w:rsidRPr="009A4C24">
        <w:rPr>
          <w:lang w:val="sv-SE"/>
        </w:rPr>
        <w:t xml:space="preserve">Söderwall = </w:t>
      </w:r>
      <w:r w:rsidRPr="003A04A7">
        <w:rPr>
          <w:i/>
          <w:lang w:val="sv-SE"/>
        </w:rPr>
        <w:t>Ordbok öfver svrenska medeltids-språket</w:t>
      </w:r>
      <w:r w:rsidRPr="009A4C24">
        <w:rPr>
          <w:lang w:val="sv-SE"/>
        </w:rPr>
        <w:t xml:space="preserve">, ed. </w:t>
      </w:r>
      <w:r>
        <w:t>K. F. Söderwall. Lund, 1884–1918.</w:t>
      </w:r>
    </w:p>
    <w:sectPr w:rsidR="001D68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CB3A3" w14:textId="77777777" w:rsidR="00F55736" w:rsidRDefault="00F55736" w:rsidP="009A4C24">
      <w:pPr>
        <w:spacing w:after="0"/>
      </w:pPr>
      <w:r>
        <w:separator/>
      </w:r>
    </w:p>
  </w:endnote>
  <w:endnote w:type="continuationSeparator" w:id="0">
    <w:p w14:paraId="5376DF39" w14:textId="77777777" w:rsidR="00F55736" w:rsidRDefault="00F55736" w:rsidP="009A4C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TUS Cyberbit Basic">
    <w:altName w:val="Times New Roman"/>
    <w:charset w:val="00"/>
    <w:family w:val="roman"/>
    <w:pitch w:val="variable"/>
    <w:sig w:usb0="E500AFFF" w:usb1="D00F7C7B" w:usb2="0000001E"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Unicode">
    <w:panose1 w:val="02020600050405020304"/>
    <w:charset w:val="00"/>
    <w:family w:val="roman"/>
    <w:pitch w:val="variable"/>
    <w:sig w:usb0="E00002FF" w:usb1="1000403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A62BE" w14:textId="77777777" w:rsidR="00F55736" w:rsidRDefault="00F55736" w:rsidP="009A4C24">
      <w:pPr>
        <w:spacing w:after="0"/>
      </w:pPr>
      <w:r>
        <w:separator/>
      </w:r>
    </w:p>
  </w:footnote>
  <w:footnote w:type="continuationSeparator" w:id="0">
    <w:p w14:paraId="4D26D6AD" w14:textId="77777777" w:rsidR="00F55736" w:rsidRDefault="00F55736" w:rsidP="009A4C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06CA"/>
    <w:multiLevelType w:val="hybridMultilevel"/>
    <w:tmpl w:val="8410C73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504667D"/>
    <w:multiLevelType w:val="hybridMultilevel"/>
    <w:tmpl w:val="31AAD28A"/>
    <w:lvl w:ilvl="0" w:tplc="8DDCD7DE">
      <w:start w:val="1"/>
      <w:numFmt w:val="decimal"/>
      <w:lvlText w:val="%1)"/>
      <w:lvlJc w:val="left"/>
      <w:pPr>
        <w:ind w:left="530" w:hanging="360"/>
      </w:pPr>
      <w:rPr>
        <w:rFonts w:ascii="Times New Roman" w:eastAsia="Times New Roman" w:hAnsi="Times New Roman" w:cs="Times New Roman"/>
      </w:rPr>
    </w:lvl>
    <w:lvl w:ilvl="1" w:tplc="041D0019" w:tentative="1">
      <w:start w:val="1"/>
      <w:numFmt w:val="lowerLetter"/>
      <w:lvlText w:val="%2."/>
      <w:lvlJc w:val="left"/>
      <w:pPr>
        <w:ind w:left="1250" w:hanging="360"/>
      </w:pPr>
    </w:lvl>
    <w:lvl w:ilvl="2" w:tplc="041D001B" w:tentative="1">
      <w:start w:val="1"/>
      <w:numFmt w:val="lowerRoman"/>
      <w:lvlText w:val="%3."/>
      <w:lvlJc w:val="right"/>
      <w:pPr>
        <w:ind w:left="1970" w:hanging="180"/>
      </w:pPr>
    </w:lvl>
    <w:lvl w:ilvl="3" w:tplc="041D000F" w:tentative="1">
      <w:start w:val="1"/>
      <w:numFmt w:val="decimal"/>
      <w:lvlText w:val="%4."/>
      <w:lvlJc w:val="left"/>
      <w:pPr>
        <w:ind w:left="2690" w:hanging="360"/>
      </w:pPr>
    </w:lvl>
    <w:lvl w:ilvl="4" w:tplc="041D0019" w:tentative="1">
      <w:start w:val="1"/>
      <w:numFmt w:val="lowerLetter"/>
      <w:lvlText w:val="%5."/>
      <w:lvlJc w:val="left"/>
      <w:pPr>
        <w:ind w:left="3410" w:hanging="360"/>
      </w:pPr>
    </w:lvl>
    <w:lvl w:ilvl="5" w:tplc="041D001B" w:tentative="1">
      <w:start w:val="1"/>
      <w:numFmt w:val="lowerRoman"/>
      <w:lvlText w:val="%6."/>
      <w:lvlJc w:val="right"/>
      <w:pPr>
        <w:ind w:left="4130" w:hanging="180"/>
      </w:pPr>
    </w:lvl>
    <w:lvl w:ilvl="6" w:tplc="041D000F" w:tentative="1">
      <w:start w:val="1"/>
      <w:numFmt w:val="decimal"/>
      <w:lvlText w:val="%7."/>
      <w:lvlJc w:val="left"/>
      <w:pPr>
        <w:ind w:left="4850" w:hanging="360"/>
      </w:pPr>
    </w:lvl>
    <w:lvl w:ilvl="7" w:tplc="041D0019" w:tentative="1">
      <w:start w:val="1"/>
      <w:numFmt w:val="lowerLetter"/>
      <w:lvlText w:val="%8."/>
      <w:lvlJc w:val="left"/>
      <w:pPr>
        <w:ind w:left="5570" w:hanging="360"/>
      </w:pPr>
    </w:lvl>
    <w:lvl w:ilvl="8" w:tplc="041D001B" w:tentative="1">
      <w:start w:val="1"/>
      <w:numFmt w:val="lowerRoman"/>
      <w:lvlText w:val="%9."/>
      <w:lvlJc w:val="right"/>
      <w:pPr>
        <w:ind w:left="6290" w:hanging="180"/>
      </w:pPr>
    </w:lvl>
  </w:abstractNum>
  <w:abstractNum w:abstractNumId="2" w15:restartNumberingAfterBreak="0">
    <w:nsid w:val="4BBB78CD"/>
    <w:multiLevelType w:val="hybridMultilevel"/>
    <w:tmpl w:val="A4B8CD1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22D02C7"/>
    <w:multiLevelType w:val="hybridMultilevel"/>
    <w:tmpl w:val="55F62BA2"/>
    <w:lvl w:ilvl="0" w:tplc="5394A4A8">
      <w:start w:val="1"/>
      <w:numFmt w:val="decimal"/>
      <w:lvlText w:val="%1)"/>
      <w:lvlJc w:val="left"/>
      <w:pPr>
        <w:ind w:left="530" w:hanging="360"/>
      </w:pPr>
      <w:rPr>
        <w:rFonts w:hint="default"/>
      </w:rPr>
    </w:lvl>
    <w:lvl w:ilvl="1" w:tplc="041D0019" w:tentative="1">
      <w:start w:val="1"/>
      <w:numFmt w:val="lowerLetter"/>
      <w:lvlText w:val="%2."/>
      <w:lvlJc w:val="left"/>
      <w:pPr>
        <w:ind w:left="1250" w:hanging="360"/>
      </w:pPr>
    </w:lvl>
    <w:lvl w:ilvl="2" w:tplc="041D001B" w:tentative="1">
      <w:start w:val="1"/>
      <w:numFmt w:val="lowerRoman"/>
      <w:lvlText w:val="%3."/>
      <w:lvlJc w:val="right"/>
      <w:pPr>
        <w:ind w:left="1970" w:hanging="180"/>
      </w:pPr>
    </w:lvl>
    <w:lvl w:ilvl="3" w:tplc="041D000F" w:tentative="1">
      <w:start w:val="1"/>
      <w:numFmt w:val="decimal"/>
      <w:lvlText w:val="%4."/>
      <w:lvlJc w:val="left"/>
      <w:pPr>
        <w:ind w:left="2690" w:hanging="360"/>
      </w:pPr>
    </w:lvl>
    <w:lvl w:ilvl="4" w:tplc="041D0019" w:tentative="1">
      <w:start w:val="1"/>
      <w:numFmt w:val="lowerLetter"/>
      <w:lvlText w:val="%5."/>
      <w:lvlJc w:val="left"/>
      <w:pPr>
        <w:ind w:left="3410" w:hanging="360"/>
      </w:pPr>
    </w:lvl>
    <w:lvl w:ilvl="5" w:tplc="041D001B" w:tentative="1">
      <w:start w:val="1"/>
      <w:numFmt w:val="lowerRoman"/>
      <w:lvlText w:val="%6."/>
      <w:lvlJc w:val="right"/>
      <w:pPr>
        <w:ind w:left="4130" w:hanging="180"/>
      </w:pPr>
    </w:lvl>
    <w:lvl w:ilvl="6" w:tplc="041D000F" w:tentative="1">
      <w:start w:val="1"/>
      <w:numFmt w:val="decimal"/>
      <w:lvlText w:val="%7."/>
      <w:lvlJc w:val="left"/>
      <w:pPr>
        <w:ind w:left="4850" w:hanging="360"/>
      </w:pPr>
    </w:lvl>
    <w:lvl w:ilvl="7" w:tplc="041D0019" w:tentative="1">
      <w:start w:val="1"/>
      <w:numFmt w:val="lowerLetter"/>
      <w:lvlText w:val="%8."/>
      <w:lvlJc w:val="left"/>
      <w:pPr>
        <w:ind w:left="5570" w:hanging="360"/>
      </w:pPr>
    </w:lvl>
    <w:lvl w:ilvl="8" w:tplc="041D001B" w:tentative="1">
      <w:start w:val="1"/>
      <w:numFmt w:val="lowerRoman"/>
      <w:lvlText w:val="%9."/>
      <w:lvlJc w:val="right"/>
      <w:pPr>
        <w:ind w:left="629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24"/>
    <w:rsid w:val="00060E49"/>
    <w:rsid w:val="00106DDD"/>
    <w:rsid w:val="001D6842"/>
    <w:rsid w:val="00230C32"/>
    <w:rsid w:val="00292F13"/>
    <w:rsid w:val="00375A4C"/>
    <w:rsid w:val="003A04A7"/>
    <w:rsid w:val="00484DAC"/>
    <w:rsid w:val="0058230F"/>
    <w:rsid w:val="005E3C2C"/>
    <w:rsid w:val="005F441F"/>
    <w:rsid w:val="00646A1F"/>
    <w:rsid w:val="006F023D"/>
    <w:rsid w:val="007043D4"/>
    <w:rsid w:val="00780E27"/>
    <w:rsid w:val="008336EC"/>
    <w:rsid w:val="00842C53"/>
    <w:rsid w:val="008A63AE"/>
    <w:rsid w:val="00961638"/>
    <w:rsid w:val="009A4C24"/>
    <w:rsid w:val="00A56B82"/>
    <w:rsid w:val="00D40F06"/>
    <w:rsid w:val="00E3647E"/>
    <w:rsid w:val="00F55736"/>
    <w:rsid w:val="00F62905"/>
    <w:rsid w:val="00F97C3E"/>
    <w:rsid w:val="00FA6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CCE4"/>
  <w15:chartTrackingRefBased/>
  <w15:docId w15:val="{681C2DCB-7206-4207-8D05-82FE6C2D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bstractFS"/>
    <w:qFormat/>
    <w:rsid w:val="00292F13"/>
    <w:pPr>
      <w:spacing w:after="240" w:line="240" w:lineRule="auto"/>
      <w:ind w:firstLine="567"/>
      <w:jc w:val="both"/>
    </w:pPr>
    <w:rPr>
      <w:rFonts w:ascii="Times New Roman" w:hAnsi="Times New Roman" w:cs="Times New Roman"/>
      <w:sz w:val="18"/>
      <w:szCs w:val="24"/>
      <w:lang w:val="en-HK" w:eastAsia="de-DE"/>
    </w:rPr>
  </w:style>
  <w:style w:type="paragraph" w:styleId="Heading1">
    <w:name w:val="heading 1"/>
    <w:basedOn w:val="Normal"/>
    <w:next w:val="Normal"/>
    <w:link w:val="Heading1Char"/>
    <w:autoRedefine/>
    <w:qFormat/>
    <w:rsid w:val="00961638"/>
    <w:pPr>
      <w:keepNext/>
      <w:tabs>
        <w:tab w:val="left" w:pos="567"/>
      </w:tabs>
      <w:spacing w:before="360"/>
      <w:ind w:left="567" w:hanging="567"/>
      <w:outlineLvl w:val="0"/>
    </w:pPr>
    <w:rPr>
      <w:rFonts w:asciiTheme="minorHAnsi" w:hAnsiTheme="minorHAnsi" w:cs="Arial"/>
      <w:b/>
      <w:bCs/>
      <w:kern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e de bas de page Car,Note de bas de page Car Car Car,Note de bas de page Car Car,Note de bas de page Car Car Char,Foot note text"/>
    <w:basedOn w:val="Normal"/>
    <w:link w:val="FootnoteTextChar"/>
    <w:autoRedefine/>
    <w:qFormat/>
    <w:rsid w:val="00060E49"/>
    <w:pPr>
      <w:spacing w:after="0" w:line="200" w:lineRule="exact"/>
      <w:ind w:firstLine="0"/>
    </w:pPr>
    <w:rPr>
      <w:rFonts w:asciiTheme="minorHAnsi" w:eastAsia="TITUS Cyberbit Basic" w:hAnsiTheme="minorHAnsi" w:cs="TITUS Cyberbit Basic"/>
      <w:szCs w:val="22"/>
      <w:lang w:val="en-US" w:eastAsia="en-US"/>
    </w:rPr>
  </w:style>
  <w:style w:type="character" w:customStyle="1" w:styleId="FootnoteTextChar">
    <w:name w:val="Footnote Text Char"/>
    <w:aliases w:val="Note de bas de page Car Char,Note de bas de page Car Car Car Char,Note de bas de page Car Car Char1,Note de bas de page Car Car Char Char,Foot note text Char"/>
    <w:basedOn w:val="DefaultParagraphFont"/>
    <w:link w:val="FootnoteText"/>
    <w:rsid w:val="00060E49"/>
    <w:rPr>
      <w:rFonts w:eastAsia="TITUS Cyberbit Basic" w:cs="TITUS Cyberbit Basic"/>
      <w:sz w:val="18"/>
      <w:lang w:val="en-US"/>
    </w:rPr>
  </w:style>
  <w:style w:type="character" w:customStyle="1" w:styleId="Heading1Char">
    <w:name w:val="Heading 1 Char"/>
    <w:link w:val="Heading1"/>
    <w:rsid w:val="00961638"/>
    <w:rPr>
      <w:rFonts w:cs="Arial"/>
      <w:b/>
      <w:bCs/>
      <w:kern w:val="32"/>
      <w:lang w:val="fr-FR"/>
    </w:rPr>
  </w:style>
  <w:style w:type="paragraph" w:customStyle="1" w:styleId="FlietextTextecourantFortsetzung">
    <w:name w:val="Fließtext / Texte courant Fortsetzung"/>
    <w:basedOn w:val="Normal"/>
    <w:autoRedefine/>
    <w:qFormat/>
    <w:rsid w:val="00060E49"/>
    <w:pPr>
      <w:spacing w:after="0" w:line="270" w:lineRule="exact"/>
      <w:ind w:firstLine="170"/>
    </w:pPr>
    <w:rPr>
      <w:rFonts w:cs="TITUS Cyberbit Basic"/>
      <w:sz w:val="22"/>
      <w:szCs w:val="22"/>
      <w:lang w:val="fr-FR"/>
    </w:rPr>
  </w:style>
  <w:style w:type="paragraph" w:styleId="Quote">
    <w:name w:val="Quote"/>
    <w:basedOn w:val="Normal"/>
    <w:link w:val="QuoteChar"/>
    <w:autoRedefine/>
    <w:uiPriority w:val="29"/>
    <w:qFormat/>
    <w:rsid w:val="00060E49"/>
    <w:pPr>
      <w:widowControl w:val="0"/>
      <w:suppressAutoHyphens/>
      <w:spacing w:before="120" w:after="120" w:line="270" w:lineRule="exact"/>
      <w:ind w:left="567" w:right="567" w:firstLine="0"/>
    </w:pPr>
    <w:rPr>
      <w:rFonts w:asciiTheme="minorHAnsi" w:eastAsia="SimSun" w:hAnsiTheme="minorHAnsi" w:cs="Mangal"/>
      <w:i/>
      <w:kern w:val="1"/>
      <w:sz w:val="22"/>
      <w:lang w:val="el-GR" w:eastAsia="hi-IN" w:bidi="hi-IN"/>
    </w:rPr>
  </w:style>
  <w:style w:type="character" w:customStyle="1" w:styleId="QuoteChar">
    <w:name w:val="Quote Char"/>
    <w:basedOn w:val="DefaultParagraphFont"/>
    <w:link w:val="Quote"/>
    <w:uiPriority w:val="29"/>
    <w:rsid w:val="00060E49"/>
    <w:rPr>
      <w:rFonts w:eastAsia="SimSun" w:cs="Mangal"/>
      <w:i/>
      <w:kern w:val="1"/>
      <w:szCs w:val="24"/>
      <w:lang w:val="el-GR" w:eastAsia="hi-IN" w:bidi="hi-IN"/>
    </w:rPr>
  </w:style>
  <w:style w:type="paragraph" w:styleId="Header">
    <w:name w:val="header"/>
    <w:basedOn w:val="Normal"/>
    <w:link w:val="HeaderChar"/>
    <w:uiPriority w:val="99"/>
    <w:unhideWhenUsed/>
    <w:rsid w:val="009A4C24"/>
    <w:pPr>
      <w:tabs>
        <w:tab w:val="center" w:pos="4536"/>
        <w:tab w:val="right" w:pos="9072"/>
      </w:tabs>
      <w:spacing w:after="0"/>
    </w:pPr>
  </w:style>
  <w:style w:type="character" w:customStyle="1" w:styleId="HeaderChar">
    <w:name w:val="Header Char"/>
    <w:basedOn w:val="DefaultParagraphFont"/>
    <w:link w:val="Header"/>
    <w:uiPriority w:val="99"/>
    <w:rsid w:val="009A4C24"/>
    <w:rPr>
      <w:rFonts w:ascii="Times New Roman" w:hAnsi="Times New Roman" w:cs="Times New Roman"/>
      <w:sz w:val="18"/>
      <w:szCs w:val="24"/>
      <w:lang w:val="en-HK" w:eastAsia="de-DE"/>
    </w:rPr>
  </w:style>
  <w:style w:type="paragraph" w:styleId="Footer">
    <w:name w:val="footer"/>
    <w:basedOn w:val="Normal"/>
    <w:link w:val="FooterChar"/>
    <w:uiPriority w:val="99"/>
    <w:unhideWhenUsed/>
    <w:rsid w:val="009A4C24"/>
    <w:pPr>
      <w:tabs>
        <w:tab w:val="center" w:pos="4536"/>
        <w:tab w:val="right" w:pos="9072"/>
      </w:tabs>
      <w:spacing w:after="0"/>
    </w:pPr>
  </w:style>
  <w:style w:type="character" w:customStyle="1" w:styleId="FooterChar">
    <w:name w:val="Footer Char"/>
    <w:basedOn w:val="DefaultParagraphFont"/>
    <w:link w:val="Footer"/>
    <w:uiPriority w:val="99"/>
    <w:rsid w:val="009A4C24"/>
    <w:rPr>
      <w:rFonts w:ascii="Times New Roman" w:hAnsi="Times New Roman" w:cs="Times New Roman"/>
      <w:sz w:val="18"/>
      <w:szCs w:val="24"/>
      <w:lang w:val="en-HK" w:eastAsia="de-DE"/>
    </w:rPr>
  </w:style>
  <w:style w:type="character" w:styleId="CommentReference">
    <w:name w:val="annotation reference"/>
    <w:basedOn w:val="DefaultParagraphFont"/>
    <w:uiPriority w:val="99"/>
    <w:semiHidden/>
    <w:unhideWhenUsed/>
    <w:rsid w:val="009A4C24"/>
    <w:rPr>
      <w:sz w:val="16"/>
      <w:szCs w:val="16"/>
    </w:rPr>
  </w:style>
  <w:style w:type="paragraph" w:styleId="CommentText">
    <w:name w:val="annotation text"/>
    <w:basedOn w:val="Normal"/>
    <w:link w:val="CommentTextChar"/>
    <w:uiPriority w:val="99"/>
    <w:semiHidden/>
    <w:unhideWhenUsed/>
    <w:rsid w:val="009A4C24"/>
    <w:rPr>
      <w:sz w:val="20"/>
      <w:szCs w:val="20"/>
    </w:rPr>
  </w:style>
  <w:style w:type="character" w:customStyle="1" w:styleId="CommentTextChar">
    <w:name w:val="Comment Text Char"/>
    <w:basedOn w:val="DefaultParagraphFont"/>
    <w:link w:val="CommentText"/>
    <w:uiPriority w:val="99"/>
    <w:semiHidden/>
    <w:rsid w:val="009A4C24"/>
    <w:rPr>
      <w:rFonts w:ascii="Times New Roman" w:hAnsi="Times New Roman" w:cs="Times New Roman"/>
      <w:sz w:val="20"/>
      <w:szCs w:val="20"/>
      <w:lang w:val="en-HK" w:eastAsia="de-DE"/>
    </w:rPr>
  </w:style>
  <w:style w:type="paragraph" w:styleId="CommentSubject">
    <w:name w:val="annotation subject"/>
    <w:basedOn w:val="CommentText"/>
    <w:next w:val="CommentText"/>
    <w:link w:val="CommentSubjectChar"/>
    <w:uiPriority w:val="99"/>
    <w:semiHidden/>
    <w:unhideWhenUsed/>
    <w:rsid w:val="009A4C24"/>
    <w:rPr>
      <w:b/>
      <w:bCs/>
    </w:rPr>
  </w:style>
  <w:style w:type="character" w:customStyle="1" w:styleId="CommentSubjectChar">
    <w:name w:val="Comment Subject Char"/>
    <w:basedOn w:val="CommentTextChar"/>
    <w:link w:val="CommentSubject"/>
    <w:uiPriority w:val="99"/>
    <w:semiHidden/>
    <w:rsid w:val="009A4C24"/>
    <w:rPr>
      <w:rFonts w:ascii="Times New Roman" w:hAnsi="Times New Roman" w:cs="Times New Roman"/>
      <w:b/>
      <w:bCs/>
      <w:sz w:val="20"/>
      <w:szCs w:val="20"/>
      <w:lang w:val="en-HK" w:eastAsia="de-DE"/>
    </w:rPr>
  </w:style>
  <w:style w:type="paragraph" w:styleId="BalloonText">
    <w:name w:val="Balloon Text"/>
    <w:basedOn w:val="Normal"/>
    <w:link w:val="BalloonTextChar"/>
    <w:uiPriority w:val="99"/>
    <w:semiHidden/>
    <w:unhideWhenUsed/>
    <w:rsid w:val="009A4C24"/>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9A4C24"/>
    <w:rPr>
      <w:rFonts w:ascii="Segoe UI" w:hAnsi="Segoe UI" w:cs="Segoe UI"/>
      <w:sz w:val="18"/>
      <w:szCs w:val="18"/>
      <w:lang w:val="en-HK" w:eastAsia="de-DE"/>
    </w:rPr>
  </w:style>
  <w:style w:type="paragraph" w:styleId="ListParagraph">
    <w:name w:val="List Paragraph"/>
    <w:basedOn w:val="Normal"/>
    <w:uiPriority w:val="34"/>
    <w:qFormat/>
    <w:rsid w:val="0023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814</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Tarsi</dc:creator>
  <cp:keywords/>
  <dc:description/>
  <cp:lastModifiedBy>Matteo Tarsi</cp:lastModifiedBy>
  <cp:revision>16</cp:revision>
  <dcterms:created xsi:type="dcterms:W3CDTF">2022-12-08T16:41:00Z</dcterms:created>
  <dcterms:modified xsi:type="dcterms:W3CDTF">2022-12-16T16:17:00Z</dcterms:modified>
</cp:coreProperties>
</file>