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2DD10" w14:textId="77777777" w:rsidR="002565CE" w:rsidRDefault="00C40375">
      <w:pPr>
        <w:rPr>
          <w:rStyle w:val="TitleChar"/>
        </w:rPr>
      </w:pPr>
      <w:r w:rsidRPr="002565CE">
        <w:rPr>
          <w:rStyle w:val="TitleChar"/>
        </w:rPr>
        <w:t>"I used to think your administration was better and more successful"</w:t>
      </w:r>
      <w:r w:rsidR="002565CE">
        <w:rPr>
          <w:rStyle w:val="TitleChar"/>
        </w:rPr>
        <w:t xml:space="preserve"> </w:t>
      </w:r>
    </w:p>
    <w:p w14:paraId="5B5FBB55" w14:textId="0DD44A4B" w:rsidR="00167F0C" w:rsidRPr="002565CE" w:rsidRDefault="00C40375">
      <w:pPr>
        <w:rPr>
          <w:rStyle w:val="SubtitleChar"/>
        </w:rPr>
      </w:pPr>
      <w:r w:rsidRPr="002565CE">
        <w:rPr>
          <w:rStyle w:val="SubtitleChar"/>
        </w:rPr>
        <w:t>Case marking and scribal practice in the early Arabic documentary papyri (7th-9th century AD)</w:t>
      </w:r>
    </w:p>
    <w:p w14:paraId="6E1854A0" w14:textId="77777777" w:rsidR="002565CE" w:rsidRPr="001E20E6" w:rsidRDefault="002565CE" w:rsidP="002565CE">
      <w:pPr>
        <w:jc w:val="both"/>
        <w:rPr>
          <w:rFonts w:cstheme="minorHAnsi"/>
          <w:iCs/>
          <w:lang w:val="en-GB"/>
        </w:rPr>
      </w:pPr>
      <w:r w:rsidRPr="001E20E6">
        <w:rPr>
          <w:rFonts w:eastAsia="Times New Roman" w:cstheme="minorHAnsi"/>
          <w:color w:val="222222"/>
        </w:rPr>
        <w:t>The Arabic documentary papyri (7</w:t>
      </w:r>
      <w:r w:rsidRPr="001E20E6">
        <w:rPr>
          <w:rFonts w:eastAsia="Times New Roman" w:cstheme="minorHAnsi"/>
          <w:color w:val="222222"/>
          <w:vertAlign w:val="superscript"/>
        </w:rPr>
        <w:t>th</w:t>
      </w:r>
      <w:r w:rsidRPr="001E20E6">
        <w:rPr>
          <w:rFonts w:eastAsia="Times New Roman" w:cstheme="minorHAnsi"/>
          <w:color w:val="222222"/>
        </w:rPr>
        <w:t>-9</w:t>
      </w:r>
      <w:r w:rsidRPr="001E20E6">
        <w:rPr>
          <w:rFonts w:eastAsia="Times New Roman" w:cstheme="minorHAnsi"/>
          <w:color w:val="222222"/>
          <w:vertAlign w:val="superscript"/>
        </w:rPr>
        <w:t>th</w:t>
      </w:r>
      <w:r w:rsidRPr="001E20E6">
        <w:rPr>
          <w:rFonts w:eastAsia="Times New Roman" w:cstheme="minorHAnsi"/>
          <w:color w:val="222222"/>
        </w:rPr>
        <w:t> c</w:t>
      </w:r>
      <w:r>
        <w:rPr>
          <w:rFonts w:eastAsia="Times New Roman" w:cstheme="minorHAnsi"/>
          <w:color w:val="222222"/>
        </w:rPr>
        <w:t>enturies</w:t>
      </w:r>
      <w:r w:rsidRPr="001E20E6">
        <w:rPr>
          <w:rFonts w:eastAsia="Times New Roman" w:cstheme="minorHAnsi"/>
          <w:color w:val="222222"/>
        </w:rPr>
        <w:t xml:space="preserve"> </w:t>
      </w:r>
      <w:r w:rsidRPr="004425D3">
        <w:rPr>
          <w:rFonts w:eastAsia="Times New Roman" w:cstheme="minorHAnsi"/>
          <w:smallCaps/>
          <w:color w:val="222222"/>
        </w:rPr>
        <w:t>CE</w:t>
      </w:r>
      <w:r w:rsidRPr="001E20E6">
        <w:rPr>
          <w:rFonts w:eastAsia="Times New Roman" w:cstheme="minorHAnsi"/>
          <w:color w:val="222222"/>
        </w:rPr>
        <w:t>) are precious witnesses to the day-to-day</w:t>
      </w:r>
      <w:r>
        <w:rPr>
          <w:rFonts w:eastAsia="Times New Roman" w:cstheme="minorHAnsi"/>
          <w:color w:val="222222"/>
        </w:rPr>
        <w:t xml:space="preserve"> written</w:t>
      </w:r>
      <w:r w:rsidRPr="001E20E6">
        <w:rPr>
          <w:rFonts w:eastAsia="Times New Roman" w:cstheme="minorHAnsi"/>
          <w:color w:val="222222"/>
        </w:rPr>
        <w:t xml:space="preserve"> Arabic of their time. These texts exhibit considerable variation in grammar and orthography. Classical Arabic and the prescriptive attitudes of the Arabic grammarians</w:t>
      </w:r>
      <w:r w:rsidRPr="001E20E6">
        <w:rPr>
          <w:rFonts w:eastAsia="Times New Roman" w:cstheme="minorHAnsi"/>
          <w:color w:val="222222"/>
          <w:lang w:val="en-GB"/>
        </w:rPr>
        <w:t xml:space="preserve"> traditionally provided the lens through which the earliest documents of the Islamic period have been read</w:t>
      </w:r>
      <w:r w:rsidRPr="001E20E6">
        <w:rPr>
          <w:rFonts w:eastAsia="Times New Roman" w:cstheme="minorHAnsi"/>
          <w:color w:val="222222"/>
        </w:rPr>
        <w:t xml:space="preserve">. </w:t>
      </w:r>
      <w:r w:rsidRPr="001E20E6">
        <w:rPr>
          <w:rFonts w:cstheme="minorHAnsi"/>
          <w:iCs/>
          <w:lang w:val="en-GB"/>
        </w:rPr>
        <w:t>Since Classical Arabic was only fully canonized in the 10</w:t>
      </w:r>
      <w:r w:rsidRPr="001E20E6">
        <w:rPr>
          <w:rFonts w:cstheme="minorHAnsi"/>
          <w:iCs/>
          <w:vertAlign w:val="superscript"/>
          <w:lang w:val="en-GB"/>
        </w:rPr>
        <w:t>th</w:t>
      </w:r>
      <w:r w:rsidRPr="001E20E6">
        <w:rPr>
          <w:rFonts w:cstheme="minorHAnsi"/>
          <w:iCs/>
          <w:lang w:val="en-GB"/>
        </w:rPr>
        <w:t xml:space="preserve"> century </w:t>
      </w:r>
      <w:r w:rsidRPr="004425D3">
        <w:rPr>
          <w:rFonts w:cstheme="minorHAnsi"/>
          <w:iCs/>
          <w:smallCaps/>
          <w:lang w:val="en-GB"/>
        </w:rPr>
        <w:t>CE</w:t>
      </w:r>
      <w:r w:rsidRPr="001E20E6">
        <w:rPr>
          <w:rFonts w:cstheme="minorHAnsi"/>
          <w:iCs/>
          <w:lang w:val="en-GB"/>
        </w:rPr>
        <w:t>, approaching the early Arabic papyri, and the variation attested in them, through this standard is anachronistic.</w:t>
      </w:r>
    </w:p>
    <w:p w14:paraId="367370FE" w14:textId="6D06F75C" w:rsidR="002565CE" w:rsidRPr="001E20E6" w:rsidRDefault="002565CE" w:rsidP="002565CE">
      <w:pPr>
        <w:shd w:val="clear" w:color="auto" w:fill="FFFFFF"/>
        <w:spacing w:line="235" w:lineRule="atLeast"/>
        <w:rPr>
          <w:rFonts w:eastAsia="Times New Roman" w:cstheme="minorHAnsi"/>
          <w:color w:val="222222"/>
        </w:rPr>
      </w:pPr>
      <w:r w:rsidRPr="001E20E6">
        <w:rPr>
          <w:rFonts w:eastAsia="Times New Roman" w:cstheme="minorHAnsi"/>
          <w:color w:val="222222"/>
        </w:rPr>
        <w:t>This paper seeks to understand the language of these documents on their own terms. It employs a quantitative approach to investigate the nominal case system, producing a fine-grained analysis of how inflection operated in early documentary Arabic</w:t>
      </w:r>
      <w:r>
        <w:rPr>
          <w:rFonts w:eastAsia="Times New Roman" w:cstheme="minorHAnsi"/>
          <w:color w:val="222222"/>
        </w:rPr>
        <w:t xml:space="preserve">. It will pay special attention to variation within the corpus, which will be approached through </w:t>
      </w:r>
      <w:r w:rsidRPr="001E20E6">
        <w:rPr>
          <w:rFonts w:eastAsia="Times New Roman" w:cstheme="minorHAnsi"/>
          <w:color w:val="222222"/>
        </w:rPr>
        <w:t>a historical</w:t>
      </w:r>
      <w:r w:rsidR="00693EEE">
        <w:rPr>
          <w:rFonts w:eastAsia="Times New Roman" w:cstheme="minorHAnsi"/>
          <w:color w:val="222222"/>
        </w:rPr>
        <w:t>,</w:t>
      </w:r>
      <w:r w:rsidRPr="001E20E6">
        <w:rPr>
          <w:rFonts w:eastAsia="Times New Roman" w:cstheme="minorHAnsi"/>
          <w:color w:val="222222"/>
        </w:rPr>
        <w:t xml:space="preserve"> and sociolinguistic framework.</w:t>
      </w:r>
    </w:p>
    <w:p w14:paraId="13D7A09A" w14:textId="77777777" w:rsidR="002565CE" w:rsidRDefault="002565CE" w:rsidP="00C40375">
      <w:bookmarkStart w:id="0" w:name="_GoBack"/>
      <w:bookmarkEnd w:id="0"/>
    </w:p>
    <w:p w14:paraId="35A104FC" w14:textId="77777777" w:rsidR="00C40375" w:rsidRDefault="00C40375"/>
    <w:sectPr w:rsidR="00C40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75"/>
    <w:rsid w:val="00167F0C"/>
    <w:rsid w:val="002565CE"/>
    <w:rsid w:val="004B30E5"/>
    <w:rsid w:val="00693EEE"/>
    <w:rsid w:val="008A68FD"/>
    <w:rsid w:val="00C4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024E"/>
  <w15:chartTrackingRefBased/>
  <w15:docId w15:val="{0A72557C-4C9C-439F-95BA-358EECD7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5C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6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5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65C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Fokelien Kootstra</dc:creator>
  <cp:keywords/>
  <dc:description/>
  <cp:lastModifiedBy>Fokelien Kootstra</cp:lastModifiedBy>
  <cp:revision>3</cp:revision>
  <dcterms:created xsi:type="dcterms:W3CDTF">2020-10-26T11:18:00Z</dcterms:created>
  <dcterms:modified xsi:type="dcterms:W3CDTF">2020-10-27T11:49:00Z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zotero-version="5.0.92"&gt;&lt;session id="YudQIJUQ"/&gt;&lt;style id="http://www.zotero.org/styles/chicago-author-date" locale="en-US" hasBibliography="1" bibliographyStyleHasBeenSet="0"/&gt;&lt;prefs&gt;&lt;pref name="fieldType" value="Field"/&gt;&lt;/prefs&gt;&lt;/</vt:lpwstr>
  </property>
  <property fmtid="{D5CDD505-2E9C-101B-9397-08002B2CF9AE}" pid="3" name="ZOTERO_PREF_2">
    <vt:lpwstr>data&gt;</vt:lpwstr>
  </property>
</Properties>
</file>